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ЭНЕРГЕТИЧЕСКАЯ КОМИССИЯ ТЮМЕНСКОЙ ОБЛАСТИ,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ЯМАЛО-НЕНЕЦКОГО АВТОНОМНОГО ОКРУГА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103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ЦЕН (ТАРИФОВ) НА ЭЛЕКТРИЧЕСКУЮ ЭНЕРГИЮ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ПРИРАВНЕННЫМ К НЕМУ КАТЕГОРИЯМ ПОТРЕБИТЕЛЕЙ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ТЮМЕНСКОЙ ОБЛАСТИ, ХАНТЫ-МАНСИЙСКОМУ АВТОНОМНОМУ ОКРУГУ -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ЮГРЕ И ЯМАЛО-НЕНЕЦКОМУ АВТОНОМНОМУ ОКРУГУ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распоряжений РЭК ТО, ХМАО, ЯНАО от 25.02.2015 </w:t>
      </w:r>
      <w:hyperlink r:id="rId5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>,</w:t>
      </w:r>
      <w:proofErr w:type="gramEnd"/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30.03.2015 </w:t>
      </w:r>
      <w:hyperlink r:id="rId6" w:history="1">
        <w:r>
          <w:rPr>
            <w:rFonts w:ascii="Calibri" w:hAnsi="Calibri" w:cs="Calibri"/>
            <w:color w:val="0000FF"/>
          </w:rPr>
          <w:t>N 24</w:t>
        </w:r>
      </w:hyperlink>
      <w:r>
        <w:rPr>
          <w:rFonts w:ascii="Calibri" w:hAnsi="Calibri" w:cs="Calibri"/>
        </w:rPr>
        <w:t>)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Методическими </w:t>
      </w:r>
      <w:hyperlink r:id="rId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утвержденными</w:t>
      </w:r>
      <w:proofErr w:type="gramEnd"/>
      <w:r>
        <w:rPr>
          <w:rFonts w:ascii="Calibri" w:hAnsi="Calibri" w:cs="Calibri"/>
        </w:rPr>
        <w:t xml:space="preserve"> приказом Федеральной службы по тарифам от 16.09.2014 N 1442-э,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10.10.2014 N 225-э/1 "О предельных уровнях тарифов на электрическую энергию (мощность) на 2015 год":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РЭК ТО, ХМАО, ЯНАО от 30.03.2015 N 24)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 1 января 2015 года по 31 декабря 2015 года </w:t>
      </w:r>
      <w:hyperlink w:anchor="Par31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(тарифы) на электрическую энергию для населения и приравненным к нему категориям потребителей по Тюменской области, Ханты-Мансийскому автономному округу - Югре и Ямало-Ненецкому автономному округу, согласно приложению.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Ю.П.МЫЛЬНИКОВ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103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ЦЕНЫ (ТАРИФЫ)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ПРИРАВНЕННЫМ К НЕМУ КАТЕГОРИЯМ ПОТРЕБИТЕЛЕЙ ПО </w:t>
      </w:r>
      <w:proofErr w:type="gramStart"/>
      <w:r>
        <w:rPr>
          <w:rFonts w:ascii="Calibri" w:hAnsi="Calibri" w:cs="Calibri"/>
          <w:b/>
          <w:bCs/>
        </w:rPr>
        <w:t>ТЮМЕНСКОЙ</w:t>
      </w:r>
      <w:proofErr w:type="gramEnd"/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ХАНТЫ-МАНСИЙСКОМУ АВТОНОМНОМУ ОКРУГУ - ЮГРЕ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ЯМАЛО-НЕНЕЦКОМУ АВТОНОМНОМУ ОКРУГУ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РЭК ТО, ХМАО, ЯНАО от 25.02.2015 N 10)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63DE1" w:rsidSect="00D94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111"/>
        <w:gridCol w:w="1219"/>
        <w:gridCol w:w="1900"/>
        <w:gridCol w:w="1699"/>
      </w:tblGrid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Показатель (группы потребителей</w:t>
            </w:r>
            <w:proofErr w:type="gramEnd"/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разбивкой по ставкам и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дифференциацией по зонам суток)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(тариф)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(тариф)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5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91"/>
            <w:bookmarkEnd w:id="3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</w:t>
            </w:r>
            <w:r>
              <w:rPr>
                <w:rFonts w:ascii="Calibri" w:hAnsi="Calibri" w:cs="Calibri"/>
              </w:rPr>
              <w:lastRenderedPageBreak/>
              <w:t>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125"/>
            <w:bookmarkEnd w:id="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rPr>
                <w:rFonts w:ascii="Calibri" w:hAnsi="Calibri" w:cs="Calibri"/>
              </w:rP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</w:t>
            </w:r>
            <w:r>
              <w:rPr>
                <w:rFonts w:ascii="Calibri" w:hAnsi="Calibri" w:cs="Calibri"/>
              </w:rPr>
              <w:lastRenderedPageBreak/>
              <w:t>садоводства, огородничества и дачного хозяйства.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4.2.3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</w:t>
            </w:r>
            <w:r>
              <w:rPr>
                <w:rFonts w:ascii="Calibri" w:hAnsi="Calibri" w:cs="Calibri"/>
              </w:rPr>
              <w:lastRenderedPageBreak/>
              <w:t xml:space="preserve"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263D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263D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</w:tr>
      <w:tr w:rsidR="00263D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</w:tbl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3"/>
      <w:bookmarkEnd w:id="5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94"/>
      <w:bookmarkEnd w:id="6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296"/>
      <w:bookmarkEnd w:id="7"/>
      <w:r>
        <w:rPr>
          <w:rFonts w:ascii="Calibri" w:hAnsi="Calibri" w:cs="Calibri"/>
        </w:rPr>
        <w:t>Таблица 1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 планового объема полезного отпуска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электрической энергии, используемые при расчете цен</w:t>
      </w:r>
      <w:proofErr w:type="gramEnd"/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(тарифов) на электрическую энергию для населения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приравненным к нему категориям потребителей по </w:t>
      </w:r>
      <w:proofErr w:type="gramStart"/>
      <w:r>
        <w:rPr>
          <w:rFonts w:ascii="Calibri" w:hAnsi="Calibri" w:cs="Calibri"/>
        </w:rPr>
        <w:t>Тюменской</w:t>
      </w:r>
      <w:proofErr w:type="gramEnd"/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Ханты-Мансийскому автономному округу - Югре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Ямало-Ненецкому автономному округу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5443"/>
        <w:gridCol w:w="1701"/>
        <w:gridCol w:w="1701"/>
      </w:tblGrid>
      <w:tr w:rsidR="00263DE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потребителей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</w:t>
            </w: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кВт.ч</w:t>
            </w:r>
          </w:p>
        </w:tc>
      </w:tr>
      <w:tr w:rsidR="00263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29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</w:t>
            </w:r>
            <w:r>
              <w:rPr>
                <w:rFonts w:ascii="Calibri" w:hAnsi="Calibri" w:cs="Calibri"/>
              </w:rPr>
              <w:lastRenderedPageBreak/>
              <w:t>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466,17</w:t>
            </w: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322"/>
            <w:bookmarkEnd w:id="8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жилые помещения фонда для временного поселения вынужденных переселенцев, жилые помещения фонда </w:t>
            </w:r>
            <w:r>
              <w:rPr>
                <w:rFonts w:ascii="Calibri" w:hAnsi="Calibri" w:cs="Calibri"/>
              </w:rPr>
              <w:lastRenderedPageBreak/>
              <w:t>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1279,54</w:t>
            </w: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329"/>
            <w:bookmarkEnd w:id="9"/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нему категории потребителей &lt;*&gt;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rPr>
                <w:rFonts w:ascii="Calibri" w:hAnsi="Calibri" w:cs="Calibri"/>
              </w:rP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534,82</w:t>
            </w: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232,81</w:t>
            </w: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</w:t>
            </w:r>
            <w:r>
              <w:rPr>
                <w:rFonts w:ascii="Calibri" w:hAnsi="Calibri" w:cs="Calibri"/>
              </w:rPr>
              <w:lastRenderedPageBreak/>
              <w:t>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353"/>
      <w:bookmarkEnd w:id="10"/>
      <w:r>
        <w:rPr>
          <w:rFonts w:ascii="Calibri" w:hAnsi="Calibri" w:cs="Calibri"/>
        </w:rPr>
        <w:t>Таблица 2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5443"/>
        <w:gridCol w:w="1701"/>
        <w:gridCol w:w="1701"/>
      </w:tblGrid>
      <w:tr w:rsidR="00263DE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63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</w:t>
            </w:r>
            <w:r>
              <w:rPr>
                <w:rFonts w:ascii="Calibri" w:hAnsi="Calibri" w:cs="Calibri"/>
              </w:rPr>
              <w:lastRenderedPageBreak/>
              <w:t>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rPr>
                <w:rFonts w:ascii="Calibri" w:hAnsi="Calibri" w:cs="Calibri"/>
              </w:rP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</w:t>
            </w:r>
            <w:r>
              <w:rPr>
                <w:rFonts w:ascii="Calibri" w:hAnsi="Calibri" w:cs="Calibri"/>
              </w:rPr>
              <w:lastRenderedPageBreak/>
              <w:t>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</w:t>
            </w:r>
            <w:r>
              <w:rPr>
                <w:rFonts w:ascii="Calibri" w:hAnsi="Calibri" w:cs="Calibri"/>
              </w:rPr>
              <w:lastRenderedPageBreak/>
              <w:t>принадлежащих им хозяйственных постройках (погреба, сараи)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DE1" w:rsidRDefault="0026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98"/>
      <w:bookmarkEnd w:id="1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3DE1" w:rsidRDefault="00263D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3DE1" w:rsidRDefault="00263D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53B4" w:rsidRDefault="00263DE1"/>
    <w:sectPr w:rsidR="00CD53B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3DE1"/>
    <w:rsid w:val="00263DE1"/>
    <w:rsid w:val="002B187B"/>
    <w:rsid w:val="003A30C3"/>
    <w:rsid w:val="009D4543"/>
    <w:rsid w:val="00D56550"/>
    <w:rsid w:val="00F6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B43272C856634C8B8AAFE1D9CD480E75598026DD67AF0D869C35932DBhC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3B43272C856634C8B8AAFE1D9CD480E75A9A086ED37AF0D869C35932BC7378CBBB50972C6E5C65DAhBG" TargetMode="External"/><Relationship Id="rId12" Type="http://schemas.openxmlformats.org/officeDocument/2006/relationships/hyperlink" Target="consultantplus://offline/ref=DB3B43272C856634C8B8AAFD0FF08A8FE056C60C67D577AF8536980465B5792F8CF409D568625C65AE49EBD2h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B43272C856634C8B8AAFD0FF08A8FE056C60C67D676A58436980465B5792F8CF409D568625C65AE49EBD2h3G" TargetMode="External"/><Relationship Id="rId11" Type="http://schemas.openxmlformats.org/officeDocument/2006/relationships/hyperlink" Target="consultantplus://offline/ref=DB3B43272C856634C8B8AAFD0FF08A8FE056C60C67D676A58436980465B5792F8CF409D568625C65AE49EBD2h0G" TargetMode="External"/><Relationship Id="rId5" Type="http://schemas.openxmlformats.org/officeDocument/2006/relationships/hyperlink" Target="consultantplus://offline/ref=DB3B43272C856634C8B8AAFD0FF08A8FE056C60C67D577AF8536980465B5792F8CF409D568625C65AE49EBD2h3G" TargetMode="External"/><Relationship Id="rId10" Type="http://schemas.openxmlformats.org/officeDocument/2006/relationships/hyperlink" Target="consultantplus://offline/ref=DB3B43272C856634C8B8B4F0199CD480E759900767D17AF0D869C35932DBh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3B43272C856634C8B8AAFE1D9CD480E75A98026BD17AF0D869C35932BC7378CBBB50972C6F5D64DAh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4220</Words>
  <Characters>24058</Characters>
  <Application>Microsoft Office Word</Application>
  <DocSecurity>0</DocSecurity>
  <Lines>200</Lines>
  <Paragraphs>56</Paragraphs>
  <ScaleCrop>false</ScaleCrop>
  <Company/>
  <LinksUpToDate>false</LinksUpToDate>
  <CharactersWithSpaces>28222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2015-06-09T06:33:00Z</dcterms:created>
  <dcterms:modified xsi:type="dcterms:W3CDTF">2015-06-09T06:34:00Z</dcterms:modified>
</cp:coreProperties>
</file>